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/>
      </w:pPr>
      <w:r w:rsidDel="00000000" w:rsidR="00000000" w:rsidRPr="00000000">
        <w:rPr/>
        <w:drawing>
          <wp:inline distB="114300" distT="114300" distL="114300" distR="114300">
            <wp:extent cx="1547813" cy="168927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689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1014413" cy="101441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101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2160" w:firstLine="720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WE ARE STRONGER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would like to join any of these committees below, please complete the Subcommittee Volunteer Form.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Governance and Legal Committee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Ability to read and understand documents (bylaws, covenants, policies)</w:t>
        <w:br w:type="textWrapping"/>
        <w:t xml:space="preserve"> • Interest in rules, fairness, and how decisions are made</w:t>
        <w:br w:type="textWrapping"/>
        <w:t xml:space="preserve"> • Comfortable summarizing information in plain language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Financial Review and Budget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Basic understanding of budgets, expenses, or accounting</w:t>
        <w:br w:type="textWrapping"/>
        <w:t xml:space="preserve"> • Attention to detail with numbers and reports</w:t>
        <w:br w:type="textWrapping"/>
        <w:t xml:space="preserve"> • Ability to ask practical questions about spending and reserves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Infrastructure and Transition Inspection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Background or interest in construction, engineering, or property maintenance</w:t>
        <w:br w:type="textWrapping"/>
        <w:t xml:space="preserve"> • Ability to understand, observe, and document physical issues (roads, drainage, etc.)</w:t>
        <w:br w:type="textWrapping"/>
        <w:t xml:space="preserve"> • Detail-oriented with a practical problem-solving mindset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Covenants, Compliance, and ARC Prep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Strong sense of fairness and consistency</w:t>
        <w:br w:type="textWrapping"/>
        <w:t xml:space="preserve"> • Ability to interpret rules and apply them reasonably</w:t>
        <w:br w:type="textWrapping"/>
        <w:t xml:space="preserve"> • Good communication skills when explaining guidelines to neighbors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Vendor and Contracts Review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Experience reviewing contracts or service agreements (or willingness to learn)</w:t>
        <w:br w:type="textWrapping"/>
        <w:t xml:space="preserve"> • Ability to evaluate quality vs. cost</w:t>
        <w:br w:type="textWrapping"/>
        <w:t xml:space="preserve"> • Comfortable comparing options and asking vendors the right questions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Amenities and Lifestyle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Interest in community activities, amenities, and overall resident experience</w:t>
        <w:br w:type="textWrapping"/>
        <w:t xml:space="preserve"> • Observational skills (what’s working vs. what needs improvement)</w:t>
        <w:br w:type="textWrapping"/>
        <w:t xml:space="preserve"> • Creative thinking for events, usage, and improvements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Communications and Community Engagement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Strong written and/or verbal communication skills</w:t>
        <w:br w:type="textWrapping"/>
        <w:t xml:space="preserve"> • Comfortable using email, social media, or newsletters</w:t>
        <w:br w:type="textWrapping"/>
        <w:t xml:space="preserve"> • Ability to present information clearly and without bias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Election and Transition Planning Committee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• Organized and detail-oriented</w:t>
        <w:br w:type="textWrapping"/>
        <w:t xml:space="preserve"> • Interest in process, timelines, and fairness in elections</w:t>
        <w:br w:type="textWrapping"/>
        <w:t xml:space="preserve"> • Ability to explain procedures clearly to homeowners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